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sz w:val="20"/>
          <w:szCs w:val="20"/>
        </w:rPr>
      </w:pPr>
      <w:r w:rsidDel="00000000" w:rsidR="00000000" w:rsidRPr="00000000">
        <w:rPr>
          <w:sz w:val="20"/>
          <w:szCs w:val="20"/>
          <w:rtl w:val="0"/>
        </w:rPr>
        <w:t xml:space="preserve">NOTICE OF APPLICATION FOR TEMPORARY FLOW MODIFICATION</w:t>
      </w:r>
    </w:p>
    <w:p w:rsidR="00000000" w:rsidDel="00000000" w:rsidP="00000000" w:rsidRDefault="00000000" w:rsidRPr="00000000" w14:paraId="00000002">
      <w:pPr>
        <w:shd w:fill="ffffff" w:val="clear"/>
        <w:spacing w:after="160" w:line="401.9563636363637" w:lineRule="auto"/>
        <w:rPr>
          <w:color w:val="222222"/>
          <w:sz w:val="20"/>
          <w:szCs w:val="20"/>
        </w:rPr>
      </w:pPr>
      <w:r w:rsidDel="00000000" w:rsidR="00000000" w:rsidRPr="00000000">
        <w:rPr>
          <w:sz w:val="20"/>
          <w:szCs w:val="20"/>
          <w:rtl w:val="0"/>
        </w:rPr>
        <w:t xml:space="preserve">ACCEPTED FOR FILING, SOLICITING COMMENTS, M</w:t>
      </w:r>
      <w:r w:rsidDel="00000000" w:rsidR="00000000" w:rsidRPr="00000000">
        <w:rPr>
          <w:color w:val="222222"/>
          <w:sz w:val="20"/>
          <w:szCs w:val="20"/>
          <w:rtl w:val="0"/>
        </w:rPr>
        <w:t xml:space="preserve">OTIONS TO INTERVENE, AND PROTESTS</w:t>
      </w:r>
    </w:p>
    <w:p w:rsidR="00000000" w:rsidDel="00000000" w:rsidP="00000000" w:rsidRDefault="00000000" w:rsidRPr="00000000" w14:paraId="00000003">
      <w:pPr>
        <w:rPr/>
      </w:pPr>
      <w:r w:rsidDel="00000000" w:rsidR="00000000" w:rsidRPr="00000000">
        <w:rPr>
          <w:rtl w:val="0"/>
        </w:rPr>
        <w:t xml:space="preserve">The domestic, agricultural and recreational needs in Potter Valley and the East Branch of the diversion have been largely ignored. More than 500,000 people who live in communities along the river to the ocean are served by water agencies that draw most of their needs from the Russian and the groundwater tables it supports.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variance you have been asked to consider was</w:t>
      </w:r>
      <w:r w:rsidDel="00000000" w:rsidR="00000000" w:rsidRPr="00000000">
        <w:rPr>
          <w:rtl w:val="0"/>
        </w:rPr>
        <w:t xml:space="preserve"> not</w:t>
      </w:r>
      <w:r w:rsidDel="00000000" w:rsidR="00000000" w:rsidRPr="00000000">
        <w:rPr>
          <w:rtl w:val="0"/>
        </w:rPr>
        <w:t xml:space="preserve"> constructed using  a balance between human and salmonid needs,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decline in fisheries certainly has many causes:  the Northern Pike Minnow feeds on eggs and young fish, logging operations have obstructed many areas of spawning grounds, seal and other predators are currently protected by law, and their numbers have increased.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color w:val="434343"/>
        </w:rPr>
      </w:pPr>
      <w:r w:rsidDel="00000000" w:rsidR="00000000" w:rsidRPr="00000000">
        <w:rPr>
          <w:rtl w:val="0"/>
        </w:rPr>
        <w:t xml:space="preserve">Reduction of the diversion to as little as 5 cfs is unreasonable, considering that so many people have come to depend on normal flows of 35-75 cfs.</w:t>
      </w:r>
      <w:r w:rsidDel="00000000" w:rsidR="00000000" w:rsidRPr="00000000">
        <w:rPr>
          <w:color w:val="434343"/>
          <w:rtl w:val="0"/>
        </w:rPr>
        <w:t xml:space="preserve"> In the short period in 2025 when the diversion was cut to 5 cfs, wells in Potter began to go dry.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Allowing this variance to be put into effect will cause irreparable damage to farms along the river.  IIt doesn’t take long for a pear tree or grape vine  to die without water, </w:t>
      </w:r>
      <w:r w:rsidDel="00000000" w:rsidR="00000000" w:rsidRPr="00000000">
        <w:rPr>
          <w:rtl w:val="0"/>
        </w:rPr>
        <w:t xml:space="preserve">and you can’t raise cattle without water.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If you approve this request you will be implicit in illegally canceling and annulling the appropriate rights of downstream users.</w:t>
      </w:r>
    </w:p>
    <w:p w:rsidR="00000000" w:rsidDel="00000000" w:rsidP="00000000" w:rsidRDefault="00000000" w:rsidRPr="00000000" w14:paraId="0000000E">
      <w:pPr>
        <w:rPr>
          <w:color w:val="ff000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 request that you insist that the variance as written not be implemented.  Instead, we ask that you insist on a plan that will provide no less than 25 cfs into the EBRR..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cfs levels prescribed under the variance need to be monitored on a bi-weekly basis in order to maintain the level in Lake Pillsbury, that prevents cuts to as low as 5 cfs.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current IWPC plan proposes 6 ways to address water needs on the EBRR in the absence of summer diversion.  Each is costly, many present legal impediments, and all would take time and money to create.  Our position is that no reduction in flow below 25 cfs should be implemented until these mitigations have been designed, engineered, financed and constructed.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Thanks for the opportunity to comment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Respectfully submitted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